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b/>
        </w:rPr>
      </w:pPr>
      <w:r w:rsidRPr="00330CD7">
        <w:rPr>
          <w:b/>
        </w:rPr>
        <w:t>Title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</w:pPr>
      <w:r w:rsidRPr="00330CD7">
        <w:t xml:space="preserve">Effect of a patient-centered phone call by a clinical officer at time of HIV testing or re-contact on linkage to care in rural Kenya 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</w:pP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b/>
          <w:bCs/>
          <w:color w:val="343434"/>
        </w:rPr>
        <w:t>Author(s): 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color w:val="343434"/>
          <w:vertAlign w:val="superscript"/>
        </w:rPr>
      </w:pPr>
      <w:r w:rsidRPr="00330CD7">
        <w:rPr>
          <w:rFonts w:cs="Times"/>
          <w:color w:val="343434"/>
        </w:rPr>
        <w:t>James Ayieko</w:t>
      </w:r>
      <w:r w:rsidRPr="00330CD7">
        <w:rPr>
          <w:rFonts w:cs="Times"/>
          <w:color w:val="343434"/>
          <w:vertAlign w:val="superscript"/>
        </w:rPr>
        <w:t>1</w:t>
      </w:r>
      <w:r w:rsidRPr="00330CD7">
        <w:rPr>
          <w:rFonts w:cs="Times"/>
          <w:color w:val="343434"/>
        </w:rPr>
        <w:t>, Erick Wafula</w:t>
      </w:r>
      <w:r w:rsidRPr="00330CD7">
        <w:rPr>
          <w:rFonts w:cs="Times"/>
          <w:color w:val="343434"/>
          <w:vertAlign w:val="superscript"/>
        </w:rPr>
        <w:t>2</w:t>
      </w:r>
      <w:r w:rsidRPr="00330CD7">
        <w:rPr>
          <w:rFonts w:cs="Times"/>
          <w:color w:val="343434"/>
        </w:rPr>
        <w:t>, Wilson Opudo</w:t>
      </w:r>
      <w:r w:rsidRPr="00330CD7">
        <w:rPr>
          <w:rFonts w:cs="Times"/>
          <w:color w:val="343434"/>
          <w:vertAlign w:val="superscript"/>
        </w:rPr>
        <w:t>3</w:t>
      </w:r>
      <w:r w:rsidRPr="00330CD7">
        <w:rPr>
          <w:rFonts w:cs="Times"/>
          <w:color w:val="343434"/>
        </w:rPr>
        <w:t>, Craig R. Cohen</w:t>
      </w:r>
      <w:r w:rsidRPr="00330CD7">
        <w:rPr>
          <w:rFonts w:cs="Times"/>
          <w:color w:val="343434"/>
          <w:vertAlign w:val="superscript"/>
        </w:rPr>
        <w:t>2</w:t>
      </w:r>
      <w:r w:rsidRPr="00330CD7">
        <w:rPr>
          <w:rFonts w:cs="Times"/>
          <w:color w:val="343434"/>
        </w:rPr>
        <w:t>, Elizabeth A. Bukusi</w:t>
      </w:r>
      <w:r w:rsidRPr="00330CD7">
        <w:rPr>
          <w:rFonts w:cs="Times"/>
          <w:color w:val="343434"/>
          <w:vertAlign w:val="superscript"/>
        </w:rPr>
        <w:t>1</w:t>
      </w:r>
      <w:r w:rsidRPr="00330CD7">
        <w:rPr>
          <w:rFonts w:cs="Times"/>
          <w:color w:val="343434"/>
        </w:rPr>
        <w:t>, Tamara D. Clark</w:t>
      </w:r>
      <w:r w:rsidRPr="00330CD7">
        <w:rPr>
          <w:rFonts w:cs="Times"/>
          <w:color w:val="343434"/>
          <w:vertAlign w:val="superscript"/>
        </w:rPr>
        <w:t>2</w:t>
      </w:r>
      <w:r w:rsidRPr="00330CD7">
        <w:rPr>
          <w:rFonts w:cs="Times"/>
          <w:color w:val="343434"/>
        </w:rPr>
        <w:t>, Laura B. Balzer</w:t>
      </w:r>
      <w:r w:rsidRPr="00330CD7">
        <w:rPr>
          <w:rFonts w:cs="Times"/>
          <w:color w:val="343434"/>
          <w:vertAlign w:val="superscript"/>
        </w:rPr>
        <w:t>4</w:t>
      </w:r>
      <w:r w:rsidRPr="00330CD7">
        <w:rPr>
          <w:rFonts w:cs="Times"/>
          <w:color w:val="343434"/>
        </w:rPr>
        <w:t>, Moses R. Kamya</w:t>
      </w:r>
      <w:r w:rsidRPr="00330CD7">
        <w:rPr>
          <w:rFonts w:cs="Times"/>
          <w:color w:val="343434"/>
          <w:vertAlign w:val="superscript"/>
        </w:rPr>
        <w:t>5</w:t>
      </w:r>
      <w:r w:rsidRPr="00330CD7">
        <w:rPr>
          <w:rFonts w:cs="Times"/>
          <w:color w:val="343434"/>
        </w:rPr>
        <w:t>, Edwin D. Charlebois</w:t>
      </w:r>
      <w:r w:rsidRPr="00330CD7">
        <w:rPr>
          <w:rFonts w:cs="Times"/>
          <w:color w:val="343434"/>
          <w:vertAlign w:val="superscript"/>
        </w:rPr>
        <w:t>2</w:t>
      </w:r>
      <w:r w:rsidRPr="00330CD7">
        <w:rPr>
          <w:rFonts w:cs="Times"/>
          <w:color w:val="343434"/>
        </w:rPr>
        <w:t>, Maya L. Petersen</w:t>
      </w:r>
      <w:r w:rsidRPr="00330CD7">
        <w:rPr>
          <w:rFonts w:cs="Times"/>
          <w:color w:val="343434"/>
          <w:vertAlign w:val="superscript"/>
        </w:rPr>
        <w:t>6</w:t>
      </w:r>
      <w:r w:rsidRPr="00330CD7">
        <w:rPr>
          <w:rFonts w:cs="Times"/>
          <w:color w:val="343434"/>
        </w:rPr>
        <w:t>, Diane V. Havlir</w:t>
      </w:r>
      <w:r w:rsidRPr="00330CD7">
        <w:rPr>
          <w:rFonts w:cs="Times"/>
          <w:color w:val="343434"/>
          <w:vertAlign w:val="superscript"/>
        </w:rPr>
        <w:t>2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color w:val="343434"/>
          <w:vertAlign w:val="superscript"/>
        </w:rPr>
        <w:t>1</w:t>
      </w:r>
      <w:r w:rsidRPr="00330CD7">
        <w:rPr>
          <w:rFonts w:cs="Times"/>
          <w:color w:val="343434"/>
        </w:rPr>
        <w:t>Kenya Medical Research Institute, Nairobi, Kenya,</w:t>
      </w:r>
      <w:r w:rsidRPr="00330CD7">
        <w:rPr>
          <w:rFonts w:cs="Times"/>
          <w:color w:val="343434"/>
          <w:vertAlign w:val="superscript"/>
        </w:rPr>
        <w:t>2</w:t>
      </w:r>
      <w:r w:rsidRPr="00330CD7">
        <w:rPr>
          <w:rFonts w:cs="Times"/>
          <w:color w:val="343434"/>
        </w:rPr>
        <w:t>University of California San Francisco, San Francisco, CA, USA,</w:t>
      </w:r>
      <w:r w:rsidRPr="00330CD7">
        <w:rPr>
          <w:rFonts w:cs="Times"/>
          <w:color w:val="343434"/>
          <w:vertAlign w:val="superscript"/>
        </w:rPr>
        <w:t>3</w:t>
      </w:r>
      <w:r w:rsidRPr="00330CD7">
        <w:rPr>
          <w:rFonts w:cs="Times"/>
          <w:color w:val="343434"/>
        </w:rPr>
        <w:t>Kenya Medical Research Institute, Kisumu, Kenya,</w:t>
      </w:r>
      <w:r w:rsidRPr="00330CD7">
        <w:rPr>
          <w:rFonts w:cs="Times"/>
          <w:color w:val="343434"/>
          <w:vertAlign w:val="superscript"/>
        </w:rPr>
        <w:t>4</w:t>
      </w:r>
      <w:r w:rsidRPr="00330CD7">
        <w:rPr>
          <w:rFonts w:cs="Times"/>
          <w:color w:val="343434"/>
        </w:rPr>
        <w:t>Harvard University, Cambridge, MA, USA,</w:t>
      </w:r>
      <w:r w:rsidRPr="00330CD7">
        <w:rPr>
          <w:rFonts w:cs="Times"/>
          <w:color w:val="343434"/>
          <w:vertAlign w:val="superscript"/>
        </w:rPr>
        <w:t>5</w:t>
      </w:r>
      <w:r w:rsidRPr="00330CD7">
        <w:rPr>
          <w:rFonts w:cs="Times"/>
          <w:color w:val="343434"/>
        </w:rPr>
        <w:t>Makerere University, Kampala, Uganda,</w:t>
      </w:r>
      <w:r w:rsidRPr="00330CD7">
        <w:rPr>
          <w:rFonts w:cs="Times"/>
          <w:color w:val="343434"/>
          <w:vertAlign w:val="superscript"/>
        </w:rPr>
        <w:t>6</w:t>
      </w:r>
      <w:r w:rsidRPr="00330CD7">
        <w:rPr>
          <w:rFonts w:cs="Times"/>
          <w:color w:val="343434"/>
        </w:rPr>
        <w:t>University of California Berkeley, Berkeley, CA, USA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b/>
          <w:bCs/>
          <w:color w:val="343434"/>
        </w:rPr>
        <w:t> 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b/>
          <w:bCs/>
          <w:color w:val="343434"/>
        </w:rPr>
        <w:t>Background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color w:val="343434"/>
        </w:rPr>
        <w:t>In the SEARCH HIV test-and-treat study, linkage to care rates declined after two years. After achieving '90-90-90', we noted</w:t>
      </w:r>
      <w:bookmarkStart w:id="0" w:name="_GoBack"/>
      <w:bookmarkEnd w:id="0"/>
      <w:r w:rsidRPr="00330CD7">
        <w:rPr>
          <w:rFonts w:cs="Times"/>
          <w:color w:val="343434"/>
        </w:rPr>
        <w:t xml:space="preserve"> that prior non-linkers and new infection cases were harder to link to care. We had separately observed that patients who linked but subsequently defaulted from care often re-engaged after a personal phone call from a clinical officer. We therefore tested whether a phone call to patients at time of initial HIV diagnosis or, among those not currently in care, at time of re-contact at community health campaigns (CHC) or home-based testing (HBT) could improve linkage.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b/>
          <w:color w:val="343434"/>
        </w:rPr>
      </w:pPr>
      <w:r w:rsidRPr="00330CD7">
        <w:rPr>
          <w:rFonts w:cs="Times"/>
          <w:b/>
          <w:color w:val="343434"/>
        </w:rPr>
        <w:t>Methods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color w:val="343434"/>
        </w:rPr>
        <w:t>We conducted a nested randomized controlled trial during year two of the SEARCH study (NCT01864603; August-December 2016). Previously diagnosed HIV+ adults currently not engaged in care (Never linked and Lost to follow up) and newly diagnosed HIV+ adults were randomized at CHC or HBT to receive an immediate phone call from a clinical officer or no phone call. All participants received ART messaging and a one-time transport voucher for linkage. Intervention participants also received a phone call establishing a personal connection, reinforcing ART messaging, discussing linkage barriers and scheduling appointment. Linkage was defined as clinic enrollment and completion of first clinic visit. We compared the proportion linking by 7 and 30 days after randomization between intervention and control arms using Pearson chi-square tests without continuity correction.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b/>
          <w:color w:val="343434"/>
        </w:rPr>
      </w:pPr>
      <w:r w:rsidRPr="00330CD7">
        <w:rPr>
          <w:rFonts w:cs="Times"/>
          <w:b/>
          <w:color w:val="343434"/>
        </w:rPr>
        <w:t>Results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color w:val="343434"/>
        </w:rPr>
        <w:t>A total of 130 participants were randomized (68 intervention, 62 control); 88 (68%) were newly diagnosed and 42 (32%) were not currently in care. Median age was 31 years (IQR 27-40), 26.9% were male. Participants in the intervention group were more likely than those in the control group to link to care by 7 days (24/68, 35.3% vs. 12/62,19.4%, p=0.043). The effect of the intervention was maintained at 30 days (28/68, 41.1% vs. 15/62, 24.2%, p=0.040).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"/>
          <w:b/>
          <w:color w:val="343434"/>
        </w:rPr>
      </w:pPr>
      <w:r w:rsidRPr="00330CD7">
        <w:rPr>
          <w:rFonts w:cs="Times"/>
          <w:b/>
          <w:color w:val="343434"/>
        </w:rPr>
        <w:t>Conclusion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 w:rsidRPr="00330CD7">
        <w:rPr>
          <w:rFonts w:cs="Times"/>
          <w:color w:val="343434"/>
        </w:rPr>
        <w:lastRenderedPageBreak/>
        <w:t>A single phone call from a clinical officer to participants at the time of HIV testing or re-contact significantly improved linkage to care. However, overall linkage rates were low two years after initiation of universal test-and-treat. As the demographics of new diagnoses change and 'hard to engage' patients comprise an increasing proportion of those not linked, additional innovative linkage interventions are needed.</w:t>
      </w:r>
    </w:p>
    <w:p w:rsidR="0064346E" w:rsidRPr="00330CD7" w:rsidRDefault="0064346E" w:rsidP="0064346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191919"/>
        </w:rPr>
      </w:pPr>
    </w:p>
    <w:p w:rsidR="00DD2C3C" w:rsidRPr="00330CD7" w:rsidRDefault="00DD2C3C" w:rsidP="0064346E"/>
    <w:sectPr w:rsidR="00DD2C3C" w:rsidRPr="00330CD7" w:rsidSect="00077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UI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6E"/>
    <w:rsid w:val="00077756"/>
    <w:rsid w:val="00330CD7"/>
    <w:rsid w:val="0064346E"/>
    <w:rsid w:val="0095320A"/>
    <w:rsid w:val="00A40F43"/>
    <w:rsid w:val="00DD2C3C"/>
    <w:rsid w:val="00E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8CF6C"/>
  <w14:defaultImageDpi w14:val="300"/>
  <w15:docId w15:val="{404A0F25-7F34-A043-B1C5-7DE7B0B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UCSF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 Lewis-Kulzer</dc:creator>
  <cp:keywords/>
  <dc:description/>
  <cp:lastModifiedBy>Griffin, Rebecca</cp:lastModifiedBy>
  <cp:revision>3</cp:revision>
  <dcterms:created xsi:type="dcterms:W3CDTF">2018-03-12T23:24:00Z</dcterms:created>
  <dcterms:modified xsi:type="dcterms:W3CDTF">2018-03-12T23:28:00Z</dcterms:modified>
</cp:coreProperties>
</file>